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6334DBFE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785704">
        <w:rPr>
          <w:rFonts w:ascii="Arial" w:hAnsi="Arial" w:cs="Arial"/>
          <w:i/>
        </w:rPr>
        <w:t xml:space="preserve">Baker,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r w:rsidR="00D44F8E" w:rsidRPr="00E62553">
        <w:rPr>
          <w:rFonts w:ascii="Arial" w:hAnsi="Arial" w:cs="Arial"/>
          <w:i/>
        </w:rPr>
        <w:t>Lovegrove</w:t>
      </w:r>
      <w:r w:rsidR="00785704">
        <w:rPr>
          <w:rFonts w:ascii="Arial" w:hAnsi="Arial" w:cs="Arial"/>
          <w:i/>
        </w:rPr>
        <w:t xml:space="preserve">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00C9247B"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74223C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A53735">
        <w:rPr>
          <w:rFonts w:ascii="Arial" w:hAnsi="Arial" w:cs="Arial"/>
          <w:b/>
        </w:rPr>
        <w:t>6.30 pm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74223C">
        <w:rPr>
          <w:rFonts w:ascii="Arial" w:hAnsi="Arial" w:cs="Arial"/>
          <w:b/>
        </w:rPr>
        <w:t>16 July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1CB907B7" w14:textId="337655D2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74223C">
        <w:rPr>
          <w:rFonts w:ascii="Arial" w:hAnsi="Arial" w:cs="Arial"/>
        </w:rPr>
        <w:t>12 July</w:t>
      </w:r>
      <w:r w:rsidR="00A53735">
        <w:rPr>
          <w:rFonts w:ascii="Arial" w:hAnsi="Arial" w:cs="Arial"/>
        </w:rPr>
        <w:t xml:space="preserve"> 2018</w:t>
      </w:r>
    </w:p>
    <w:p w14:paraId="0169BD65" w14:textId="77777777"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686"/>
      </w:tblGrid>
      <w:tr w:rsidR="00726BAE" w:rsidRPr="00E62553" w14:paraId="2B75DE10" w14:textId="77777777" w:rsidTr="00D61346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14:paraId="5E690A08" w14:textId="77777777" w:rsidR="00726BAE" w:rsidRPr="00AA16EE" w:rsidRDefault="00942667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686" w:type="dxa"/>
          </w:tcPr>
          <w:p w14:paraId="7EB2C67E" w14:textId="77777777" w:rsidR="00726BAE" w:rsidRPr="00AA16EE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79190B3B" w:rsidR="00726BAE" w:rsidRPr="00942667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663A" w:rsidRPr="00E62553" w14:paraId="6AAC70D0" w14:textId="77777777" w:rsidTr="008733E1">
        <w:tc>
          <w:tcPr>
            <w:tcW w:w="2768" w:type="dxa"/>
          </w:tcPr>
          <w:p w14:paraId="4FDB2973" w14:textId="44C32542" w:rsidR="0010663A" w:rsidRPr="00942667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SE/18/01967/HOUSE</w:t>
            </w:r>
          </w:p>
        </w:tc>
        <w:tc>
          <w:tcPr>
            <w:tcW w:w="3577" w:type="dxa"/>
          </w:tcPr>
          <w:p w14:paraId="25D1F11A" w14:textId="6316BB8C" w:rsidR="0010663A" w:rsidRPr="000413FB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Demolition of existing single storey side extension</w:t>
            </w:r>
          </w:p>
        </w:tc>
        <w:tc>
          <w:tcPr>
            <w:tcW w:w="3686" w:type="dxa"/>
          </w:tcPr>
          <w:p w14:paraId="6096661E" w14:textId="77777777" w:rsidR="0010663A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Cs/>
              </w:rPr>
              <w:t>Brownings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House, Sundridge Road, Ide Hill TN14 6JT</w:t>
            </w:r>
          </w:p>
          <w:p w14:paraId="021B4180" w14:textId="0D1E5B04" w:rsidR="0010663A" w:rsidRPr="00942667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10663A" w:rsidRPr="00E62553" w14:paraId="44336A5D" w14:textId="77777777" w:rsidTr="008733E1">
        <w:tc>
          <w:tcPr>
            <w:tcW w:w="2768" w:type="dxa"/>
          </w:tcPr>
          <w:p w14:paraId="14E4BFB5" w14:textId="77777777" w:rsidR="0010663A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SE/18/01415/FUL</w:t>
            </w:r>
          </w:p>
          <w:p w14:paraId="7470C6EF" w14:textId="19D8F5ED" w:rsidR="0010663A" w:rsidRPr="00942667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(adjoining Parish consultation)</w:t>
            </w:r>
          </w:p>
        </w:tc>
        <w:tc>
          <w:tcPr>
            <w:tcW w:w="3577" w:type="dxa"/>
          </w:tcPr>
          <w:p w14:paraId="258CBAD5" w14:textId="6A5C6E53" w:rsidR="0010663A" w:rsidRPr="000413FB" w:rsidRDefault="0010663A" w:rsidP="0010663A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Demolition of existing stable buildings</w:t>
            </w:r>
          </w:p>
        </w:tc>
        <w:tc>
          <w:tcPr>
            <w:tcW w:w="3686" w:type="dxa"/>
          </w:tcPr>
          <w:p w14:paraId="22E84889" w14:textId="0B7C1341" w:rsidR="0010663A" w:rsidRPr="00942667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Land Adjacent to </w:t>
            </w:r>
            <w:proofErr w:type="spellStart"/>
            <w:r>
              <w:rPr>
                <w:rFonts w:ascii="Arial" w:eastAsia="Arial Unicode MS" w:hAnsi="Arial" w:cs="Arial"/>
                <w:bCs/>
              </w:rPr>
              <w:t>Hitherfield</w:t>
            </w:r>
            <w:proofErr w:type="spellEnd"/>
            <w:r>
              <w:rPr>
                <w:rFonts w:ascii="Arial" w:eastAsia="Arial Unicode MS" w:hAnsi="Arial" w:cs="Arial"/>
                <w:bCs/>
              </w:rPr>
              <w:t xml:space="preserve"> Farm, </w:t>
            </w:r>
            <w:proofErr w:type="spellStart"/>
            <w:r>
              <w:rPr>
                <w:rFonts w:ascii="Arial" w:eastAsia="Arial Unicode MS" w:hAnsi="Arial" w:cs="Arial"/>
                <w:bCs/>
              </w:rPr>
              <w:t>Brasted</w:t>
            </w:r>
            <w:proofErr w:type="spellEnd"/>
            <w:r>
              <w:rPr>
                <w:rFonts w:ascii="Arial" w:eastAsia="Arial Unicode MS" w:hAnsi="Arial" w:cs="Arial"/>
                <w:bCs/>
              </w:rPr>
              <w:t>, TN14 7PJ</w:t>
            </w:r>
          </w:p>
        </w:tc>
      </w:tr>
      <w:tr w:rsidR="0010663A" w:rsidRPr="00E62553" w14:paraId="60469A2F" w14:textId="77777777" w:rsidTr="008733E1">
        <w:tc>
          <w:tcPr>
            <w:tcW w:w="2768" w:type="dxa"/>
          </w:tcPr>
          <w:p w14:paraId="03844D47" w14:textId="416675C5" w:rsidR="0010663A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SE/18/02144/FUL</w:t>
            </w:r>
          </w:p>
        </w:tc>
        <w:tc>
          <w:tcPr>
            <w:tcW w:w="3577" w:type="dxa"/>
          </w:tcPr>
          <w:p w14:paraId="059547F5" w14:textId="45BA35EE" w:rsidR="0010663A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Conversion of existing barn to provide </w:t>
            </w:r>
            <w:proofErr w:type="gramStart"/>
            <w:r>
              <w:rPr>
                <w:rFonts w:ascii="Arial" w:eastAsia="Arial Unicode MS" w:hAnsi="Arial" w:cs="Arial"/>
                <w:bCs/>
              </w:rPr>
              <w:t>five bedroom</w:t>
            </w:r>
            <w:proofErr w:type="gramEnd"/>
            <w:r>
              <w:rPr>
                <w:rFonts w:ascii="Arial" w:eastAsia="Arial Unicode MS" w:hAnsi="Arial" w:cs="Arial"/>
                <w:bCs/>
              </w:rPr>
              <w:t xml:space="preserve"> dwelling</w:t>
            </w:r>
          </w:p>
        </w:tc>
        <w:tc>
          <w:tcPr>
            <w:tcW w:w="3686" w:type="dxa"/>
          </w:tcPr>
          <w:p w14:paraId="4AF62718" w14:textId="1DEA8077" w:rsidR="0010663A" w:rsidRDefault="0010663A" w:rsidP="0010663A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Land to South of Alderwood Great Norman Street Ide Hill TN14 6BH</w:t>
            </w:r>
          </w:p>
        </w:tc>
      </w:tr>
    </w:tbl>
    <w:p w14:paraId="06A9139B" w14:textId="6452E299"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  <w:r w:rsidR="0010663A">
        <w:rPr>
          <w:rFonts w:ascii="Arial" w:hAnsi="Arial" w:cs="Arial"/>
        </w:rPr>
        <w:t>None</w:t>
      </w:r>
      <w:bookmarkStart w:id="0" w:name="_GoBack"/>
      <w:bookmarkEnd w:id="0"/>
    </w:p>
    <w:p w14:paraId="1F61D443" w14:textId="77777777" w:rsidR="00F929F1" w:rsidRPr="000903D9" w:rsidRDefault="004629A4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14:paraId="0718D59A" w14:textId="59693129"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Amended:</w:t>
      </w:r>
      <w:r w:rsidR="00AA7F15">
        <w:rPr>
          <w:rFonts w:ascii="Arial" w:hAnsi="Arial" w:cs="Arial"/>
        </w:rPr>
        <w:t xml:space="preserve"> </w:t>
      </w:r>
      <w:r w:rsidR="00B36B07" w:rsidRPr="000903D9">
        <w:rPr>
          <w:rFonts w:ascii="Arial" w:hAnsi="Arial" w:cs="Arial"/>
        </w:rPr>
        <w:t>none</w:t>
      </w:r>
    </w:p>
    <w:p w14:paraId="5EC71E74" w14:textId="002A4B80" w:rsidR="00BD705B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</w:t>
      </w:r>
    </w:p>
    <w:p w14:paraId="3CF39839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682387C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Faulkners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Hill Farm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Yorks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Hill Ide Hill</w:t>
      </w:r>
    </w:p>
    <w:p w14:paraId="361D3C5B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Proposed new barn and silage clamp together with enlargement of</w:t>
      </w:r>
    </w:p>
    <w:p w14:paraId="719F125D" w14:textId="24B0F41A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existing brown water lagoon and new harvested clean water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attenuation lagoon</w:t>
      </w:r>
    </w:p>
    <w:p w14:paraId="33914B62" w14:textId="6805C272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904750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3B0AFD17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Croachs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Ide Hill Road Ide Hill</w:t>
      </w:r>
    </w:p>
    <w:p w14:paraId="2F9C29F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Minor material amendment to application 17/01606/HOUSE for the</w:t>
      </w:r>
    </w:p>
    <w:p w14:paraId="40017312" w14:textId="0EBE3AF8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demolition of existing dilapidated garages &amp; erection of single storey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outbuilding to include garaging, studio over (in roof space) &amp; a garden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room, erection of a conservatory to the rear of the dwelling to show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two new windows to North elevation one at ground floor level and one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on stair landing level. Change existing window to doors on West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elevation.</w:t>
      </w:r>
    </w:p>
    <w:p w14:paraId="32E8E767" w14:textId="2C0233CF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1999D78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1D3ADAC4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Little Norman Street Farm Little Norman Street Sundridge</w:t>
      </w:r>
    </w:p>
    <w:p w14:paraId="6B8A5A6C" w14:textId="0AE89448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Erection of an octagonal summer house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</w:p>
    <w:p w14:paraId="178D5424" w14:textId="23E1B595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0217738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lastRenderedPageBreak/>
        <w:t>Town and Country Planning Act 1990</w:t>
      </w:r>
    </w:p>
    <w:p w14:paraId="0EE765B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Penn Farm Penn Lane Ide Hill</w:t>
      </w:r>
    </w:p>
    <w:p w14:paraId="24FFDA11" w14:textId="4DB4F5BB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dairy</w:t>
      </w:r>
    </w:p>
    <w:p w14:paraId="3243EC17" w14:textId="72C4EA12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FranklinGothic-Book" w:hAnsi="FranklinGothic-Book" w:cs="FranklinGothic-Book"/>
          <w:sz w:val="24"/>
          <w:szCs w:val="24"/>
        </w:rPr>
      </w:pPr>
    </w:p>
    <w:p w14:paraId="745708A0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</w:p>
    <w:p w14:paraId="4B2096E9" w14:textId="0B3466C3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3C4A34B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157 Main Road Sundridge KENT</w:t>
      </w:r>
    </w:p>
    <w:p w14:paraId="0754ABD4" w14:textId="2399AE0A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rear extension. Erection of a single storey rear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extension.</w:t>
      </w:r>
    </w:p>
    <w:p w14:paraId="686A47CE" w14:textId="5051920F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2D5B805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2A56F75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Bluebell Cottage Hanging Bank Ide Hill</w:t>
      </w:r>
    </w:p>
    <w:p w14:paraId="645D3CB0" w14:textId="2E5E7B6C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dwelling and garage and erection of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replacement dwelling, terrace and entrance steps.</w:t>
      </w:r>
    </w:p>
    <w:p w14:paraId="79B1A962" w14:textId="77777777" w:rsidR="0074223C" w:rsidRPr="000903D9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7E83A1C" w14:textId="2FBC1BEC" w:rsidR="00A667A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5E88085F" w14:textId="77777777" w:rsidR="0074223C" w:rsidRPr="000903D9" w:rsidRDefault="0074223C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30A0236" w14:textId="533691F2" w:rsidR="00416BF7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</w:p>
    <w:p w14:paraId="6F89CE92" w14:textId="14C6B931" w:rsidR="0074223C" w:rsidRDefault="0074223C" w:rsidP="0074223C">
      <w:pPr>
        <w:pStyle w:val="ListParagraph"/>
        <w:spacing w:after="0" w:line="240" w:lineRule="auto"/>
        <w:rPr>
          <w:rFonts w:ascii="Arial" w:hAnsi="Arial" w:cs="Arial"/>
        </w:rPr>
      </w:pPr>
    </w:p>
    <w:p w14:paraId="2B4E2D74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71328B0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Warren Farm Main Road Sundridge</w:t>
      </w:r>
    </w:p>
    <w:p w14:paraId="26BB53E9" w14:textId="70CE99E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structures and hard standing on site and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erection of 11 No. dwellings comprising of 2 No. 2 beds, 4 No. 3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beds, 4 No. 4 beds and 1 No. 5 beds with associated hard and soft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landscaping.</w:t>
      </w:r>
    </w:p>
    <w:p w14:paraId="40F337E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203BABD" w14:textId="20AE3BFA" w:rsidR="00502ED0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293A4520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 Valid: </w:t>
      </w:r>
      <w:r w:rsidR="00C14FF6">
        <w:rPr>
          <w:rFonts w:ascii="Arial" w:hAnsi="Arial" w:cs="Arial"/>
        </w:rPr>
        <w:t>none</w:t>
      </w:r>
    </w:p>
    <w:p w14:paraId="141FDECC" w14:textId="77777777" w:rsidR="001B2351" w:rsidRPr="000903D9" w:rsidRDefault="009928DB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77777777"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14:paraId="5C77A5FD" w14:textId="27C5254C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5D889AAF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6389384B" w14:textId="5FFF24E3" w:rsidR="00C2455C" w:rsidRDefault="00E53AB7" w:rsidP="00C2455C">
      <w:pPr>
        <w:pStyle w:val="ListParagraph"/>
        <w:numPr>
          <w:ilvl w:val="0"/>
          <w:numId w:val="11"/>
        </w:numPr>
        <w:spacing w:after="0" w:line="240" w:lineRule="auto"/>
      </w:pPr>
      <w:r w:rsidRPr="00DD0927">
        <w:rPr>
          <w:rFonts w:ascii="Arial" w:hAnsi="Arial" w:cs="Arial"/>
        </w:rPr>
        <w:t>Date of next meeting:</w:t>
      </w:r>
      <w:r w:rsidR="008C5A40" w:rsidRPr="00DD0927">
        <w:rPr>
          <w:rFonts w:ascii="Arial" w:hAnsi="Arial" w:cs="Arial"/>
        </w:rPr>
        <w:t xml:space="preserve">  </w:t>
      </w:r>
      <w:r w:rsidR="000903D9" w:rsidRPr="00DD0927">
        <w:rPr>
          <w:rFonts w:ascii="Arial" w:hAnsi="Arial" w:cs="Arial"/>
        </w:rPr>
        <w:t xml:space="preserve">Monday </w:t>
      </w:r>
      <w:r w:rsidR="0060346F">
        <w:rPr>
          <w:rFonts w:ascii="Arial" w:hAnsi="Arial" w:cs="Arial"/>
        </w:rPr>
        <w:t xml:space="preserve">6 August 2018 </w:t>
      </w:r>
      <w:r w:rsidR="00DD0927">
        <w:rPr>
          <w:rFonts w:ascii="Arial" w:hAnsi="Arial" w:cs="Arial"/>
        </w:rPr>
        <w:t>at</w:t>
      </w:r>
      <w:r w:rsidR="00785704">
        <w:rPr>
          <w:rFonts w:ascii="Arial" w:hAnsi="Arial" w:cs="Arial"/>
        </w:rPr>
        <w:t xml:space="preserve"> 6.30 pm at Sundridge Village Hall </w:t>
      </w:r>
    </w:p>
    <w:p w14:paraId="2F980861" w14:textId="77777777" w:rsidR="00C2455C" w:rsidRPr="00C2455C" w:rsidRDefault="00C2455C" w:rsidP="00C2455C">
      <w:pPr>
        <w:rPr>
          <w:lang w:eastAsia="en-US"/>
        </w:rPr>
      </w:pPr>
    </w:p>
    <w:p w14:paraId="16F2C759" w14:textId="77777777" w:rsidR="00C2455C" w:rsidRPr="00C2455C" w:rsidRDefault="00C2455C" w:rsidP="00C2455C">
      <w:pPr>
        <w:rPr>
          <w:lang w:eastAsia="en-US"/>
        </w:rPr>
      </w:pPr>
    </w:p>
    <w:p w14:paraId="7B3DEDF6" w14:textId="7AD66570" w:rsidR="00C2455C" w:rsidRDefault="00C2455C" w:rsidP="00C2455C">
      <w:pPr>
        <w:rPr>
          <w:lang w:eastAsia="en-US"/>
        </w:rPr>
      </w:pPr>
    </w:p>
    <w:p w14:paraId="0DFE7E2A" w14:textId="773ACA20" w:rsidR="000903D9" w:rsidRPr="00C2455C" w:rsidRDefault="00C2455C" w:rsidP="00C2455C">
      <w:pPr>
        <w:tabs>
          <w:tab w:val="left" w:pos="2110"/>
        </w:tabs>
        <w:rPr>
          <w:lang w:eastAsia="en-US"/>
        </w:rPr>
      </w:pPr>
      <w:r>
        <w:rPr>
          <w:lang w:eastAsia="en-US"/>
        </w:rPr>
        <w:tab/>
      </w:r>
    </w:p>
    <w:sectPr w:rsidR="000903D9" w:rsidRPr="00C2455C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4ADC" w14:textId="77777777" w:rsidR="00DA10D4" w:rsidRDefault="00DA10D4" w:rsidP="006501C1">
      <w:pPr>
        <w:spacing w:after="0" w:line="240" w:lineRule="auto"/>
      </w:pPr>
      <w:r>
        <w:separator/>
      </w:r>
    </w:p>
  </w:endnote>
  <w:endnote w:type="continuationSeparator" w:id="0">
    <w:p w14:paraId="09947860" w14:textId="77777777" w:rsidR="00DA10D4" w:rsidRDefault="00DA10D4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Book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3B3213F5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74223C">
      <w:rPr>
        <w:rFonts w:ascii="Arial" w:hAnsi="Arial" w:cs="Arial"/>
        <w:i/>
        <w:sz w:val="16"/>
        <w:szCs w:val="16"/>
      </w:rPr>
      <w:t>07 16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0CAA" w14:textId="77777777" w:rsidR="00DA10D4" w:rsidRDefault="00DA10D4" w:rsidP="006501C1">
      <w:pPr>
        <w:spacing w:after="0" w:line="240" w:lineRule="auto"/>
      </w:pPr>
      <w:r>
        <w:separator/>
      </w:r>
    </w:p>
  </w:footnote>
  <w:footnote w:type="continuationSeparator" w:id="0">
    <w:p w14:paraId="796BAC6E" w14:textId="77777777" w:rsidR="00DA10D4" w:rsidRDefault="00DA10D4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0663A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346F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85704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397F-B054-46FD-98F3-FE70E59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2018-07-12T12:09:00Z</dcterms:created>
  <dcterms:modified xsi:type="dcterms:W3CDTF">2018-07-12T12:18:00Z</dcterms:modified>
</cp:coreProperties>
</file>